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2" w:rsidRPr="002D40AF" w:rsidRDefault="00EE44E9" w:rsidP="002D40AF">
      <w:pPr>
        <w:jc w:val="center"/>
        <w:rPr>
          <w:b/>
          <w:sz w:val="32"/>
          <w:szCs w:val="32"/>
        </w:rPr>
      </w:pPr>
      <w:r w:rsidRPr="00EE44E9">
        <w:rPr>
          <w:b/>
          <w:sz w:val="32"/>
          <w:szCs w:val="32"/>
        </w:rPr>
        <w:t>Сроки обработки экзаменац</w:t>
      </w:r>
      <w:r w:rsidR="00917CBB">
        <w:rPr>
          <w:b/>
          <w:sz w:val="32"/>
          <w:szCs w:val="32"/>
        </w:rPr>
        <w:t>ионных</w:t>
      </w:r>
      <w:r w:rsidRPr="00EE44E9">
        <w:rPr>
          <w:b/>
          <w:sz w:val="32"/>
          <w:szCs w:val="32"/>
        </w:rPr>
        <w:t xml:space="preserve"> работ и выдачи результатов ГИА-9</w:t>
      </w:r>
    </w:p>
    <w:tbl>
      <w:tblPr>
        <w:tblStyle w:val="-6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2D40AF" w:rsidRPr="009527B7" w:rsidTr="00EE4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2D40AF" w:rsidRPr="009527B7" w:rsidRDefault="00EE44E9" w:rsidP="00EE44E9">
            <w:pPr>
              <w:rPr>
                <w:color w:val="auto"/>
                <w:sz w:val="28"/>
                <w:szCs w:val="28"/>
              </w:rPr>
            </w:pPr>
            <w:r w:rsidRPr="00EE44E9">
              <w:rPr>
                <w:color w:val="auto"/>
                <w:sz w:val="28"/>
                <w:szCs w:val="28"/>
              </w:rPr>
              <w:t xml:space="preserve">Обработка и проверка экзаменационных работ </w:t>
            </w:r>
          </w:p>
        </w:tc>
        <w:tc>
          <w:tcPr>
            <w:tcW w:w="5812" w:type="dxa"/>
          </w:tcPr>
          <w:p w:rsidR="002D40AF" w:rsidRPr="009527B7" w:rsidRDefault="00EE44E9" w:rsidP="00EE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E44E9">
              <w:rPr>
                <w:color w:val="auto"/>
                <w:sz w:val="28"/>
                <w:szCs w:val="28"/>
              </w:rPr>
              <w:t>не более десяти календарных дней</w:t>
            </w:r>
          </w:p>
        </w:tc>
      </w:tr>
      <w:tr w:rsidR="002D40AF" w:rsidRPr="009527B7" w:rsidTr="0091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C2D69B" w:themeFill="accent3" w:themeFillTint="99"/>
          </w:tcPr>
          <w:p w:rsidR="002D40AF" w:rsidRPr="009527B7" w:rsidRDefault="00EE44E9" w:rsidP="009527B7">
            <w:pPr>
              <w:rPr>
                <w:color w:val="auto"/>
                <w:sz w:val="28"/>
                <w:szCs w:val="28"/>
              </w:rPr>
            </w:pPr>
            <w:r w:rsidRPr="00EE44E9">
              <w:rPr>
                <w:color w:val="auto"/>
                <w:sz w:val="28"/>
                <w:szCs w:val="28"/>
              </w:rPr>
              <w:t>Утверждение результатов ГИА-9</w:t>
            </w:r>
          </w:p>
        </w:tc>
        <w:tc>
          <w:tcPr>
            <w:tcW w:w="5812" w:type="dxa"/>
            <w:shd w:val="clear" w:color="auto" w:fill="C2D69B" w:themeFill="accent3" w:themeFillTint="99"/>
          </w:tcPr>
          <w:p w:rsidR="002D40AF" w:rsidRPr="009527B7" w:rsidRDefault="00EE44E9" w:rsidP="0095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E44E9">
              <w:rPr>
                <w:color w:val="auto"/>
                <w:sz w:val="28"/>
                <w:szCs w:val="28"/>
              </w:rPr>
              <w:t>в течение одного рабочего дня, следующего за днем получения результатов проверки экзаменационных работ.</w:t>
            </w:r>
          </w:p>
        </w:tc>
      </w:tr>
    </w:tbl>
    <w:p w:rsidR="002D40AF" w:rsidRPr="009527B7" w:rsidRDefault="002D40AF" w:rsidP="009527B7">
      <w:pPr>
        <w:jc w:val="center"/>
        <w:rPr>
          <w:b/>
          <w:sz w:val="32"/>
          <w:szCs w:val="32"/>
        </w:rPr>
      </w:pPr>
      <w:r w:rsidRPr="009527B7">
        <w:rPr>
          <w:b/>
          <w:sz w:val="32"/>
          <w:szCs w:val="32"/>
        </w:rPr>
        <w:t>Сроки ознакомлени</w:t>
      </w:r>
      <w:r w:rsidR="00917CBB">
        <w:rPr>
          <w:b/>
          <w:sz w:val="32"/>
          <w:szCs w:val="32"/>
        </w:rPr>
        <w:t>я</w:t>
      </w:r>
      <w:r w:rsidRPr="009527B7">
        <w:rPr>
          <w:b/>
          <w:sz w:val="32"/>
          <w:szCs w:val="32"/>
        </w:rPr>
        <w:t xml:space="preserve"> участников  экзамена с утвержденными результатами </w:t>
      </w:r>
    </w:p>
    <w:tbl>
      <w:tblPr>
        <w:tblStyle w:val="-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E44E9" w:rsidRPr="009527B7" w:rsidTr="00EE4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EE44E9" w:rsidRPr="009527B7" w:rsidRDefault="00917CBB" w:rsidP="00EE44E9">
            <w:pPr>
              <w:rPr>
                <w:sz w:val="28"/>
                <w:szCs w:val="28"/>
              </w:rPr>
            </w:pPr>
            <w:r w:rsidRPr="00917CBB">
              <w:rPr>
                <w:bCs w:val="0"/>
                <w:color w:val="auto"/>
              </w:rPr>
              <w:t>Ознакомление участников ГИА-9</w:t>
            </w:r>
            <w:r w:rsidRPr="00917CBB">
              <w:rPr>
                <w:rFonts w:ascii="Calibri" w:hAnsi="Calibri" w:cs="Calibri"/>
                <w:color w:val="auto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1A1A1A"/>
                <w:sz w:val="23"/>
                <w:szCs w:val="23"/>
                <w:shd w:val="clear" w:color="auto" w:fill="FFFFFF"/>
              </w:rPr>
              <w:t>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</w:t>
            </w:r>
          </w:p>
        </w:tc>
      </w:tr>
    </w:tbl>
    <w:p w:rsidR="00E10139" w:rsidRDefault="00EE44E9" w:rsidP="00EE44E9">
      <w:pPr>
        <w:spacing w:after="0"/>
        <w:jc w:val="center"/>
        <w:rPr>
          <w:b/>
          <w:sz w:val="32"/>
          <w:szCs w:val="32"/>
        </w:rPr>
      </w:pPr>
      <w:r w:rsidRPr="00EE44E9">
        <w:rPr>
          <w:b/>
          <w:sz w:val="32"/>
          <w:szCs w:val="32"/>
        </w:rPr>
        <w:t>Апелляция</w:t>
      </w:r>
    </w:p>
    <w:tbl>
      <w:tblPr>
        <w:tblStyle w:val="-60"/>
        <w:tblW w:w="10207" w:type="dxa"/>
        <w:tblInd w:w="-601" w:type="dxa"/>
        <w:tblLook w:val="04A0" w:firstRow="1" w:lastRow="0" w:firstColumn="1" w:lastColumn="0" w:noHBand="0" w:noVBand="1"/>
      </w:tblPr>
      <w:tblGrid>
        <w:gridCol w:w="2552"/>
        <w:gridCol w:w="3827"/>
        <w:gridCol w:w="3828"/>
      </w:tblGrid>
      <w:tr w:rsidR="00EE44E9" w:rsidTr="00EE4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E44E9" w:rsidRPr="00EE44E9" w:rsidRDefault="00EE44E9" w:rsidP="00EE44E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EE44E9" w:rsidRPr="00EE44E9" w:rsidRDefault="00EE44E9" w:rsidP="00EE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bCs w:val="0"/>
                <w:color w:val="1A1A1A"/>
                <w:sz w:val="24"/>
                <w:szCs w:val="24"/>
              </w:rPr>
              <w:t>Апелляция о нарушении Порядка проведения ГИА</w:t>
            </w:r>
          </w:p>
        </w:tc>
        <w:tc>
          <w:tcPr>
            <w:tcW w:w="3828" w:type="dxa"/>
          </w:tcPr>
          <w:p w:rsidR="00EE44E9" w:rsidRPr="00EE44E9" w:rsidRDefault="00EE44E9" w:rsidP="00EE4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bCs w:val="0"/>
                <w:color w:val="1A1A1A"/>
                <w:sz w:val="24"/>
                <w:szCs w:val="24"/>
              </w:rPr>
              <w:t>Апелляция о несогласии с выставленными баллами</w:t>
            </w:r>
          </w:p>
        </w:tc>
      </w:tr>
      <w:tr w:rsidR="00EE44E9" w:rsidTr="0091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Когда подается?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EE44E9" w:rsidTr="00EE4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E44E9" w:rsidRPr="00EE44E9" w:rsidRDefault="00EE44E9" w:rsidP="00EE44E9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Куда подается?</w:t>
            </w:r>
          </w:p>
        </w:tc>
        <w:tc>
          <w:tcPr>
            <w:tcW w:w="3827" w:type="dxa"/>
          </w:tcPr>
          <w:p w:rsidR="00EE44E9" w:rsidRPr="00EE44E9" w:rsidRDefault="00EE44E9" w:rsidP="00EE44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Члену государственной экзаменационной комиссии,</w:t>
            </w: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br/>
            </w: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не покидая пункта</w:t>
            </w: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 проведения экзамена</w:t>
            </w:r>
          </w:p>
        </w:tc>
        <w:tc>
          <w:tcPr>
            <w:tcW w:w="3828" w:type="dxa"/>
          </w:tcPr>
          <w:p w:rsidR="00EE44E9" w:rsidRPr="00EE44E9" w:rsidRDefault="00EE44E9" w:rsidP="00EE44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В образовательные организации; Непосредственно в апел</w:t>
            </w:r>
            <w:r w:rsidR="00677624">
              <w:rPr>
                <w:rFonts w:ascii="Calibri" w:hAnsi="Calibri" w:cs="Calibri"/>
                <w:color w:val="1A1A1A"/>
                <w:sz w:val="24"/>
                <w:szCs w:val="24"/>
              </w:rPr>
              <w:t>л</w:t>
            </w: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яционную комиссию</w:t>
            </w:r>
          </w:p>
        </w:tc>
      </w:tr>
      <w:tr w:rsidR="00EE44E9" w:rsidTr="0091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Сроки рассмотрения апелляции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EE44E9" w:rsidTr="00EE4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E44E9" w:rsidRPr="00EE44E9" w:rsidRDefault="00EE44E9" w:rsidP="00EE44E9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Возможные решения</w:t>
            </w:r>
          </w:p>
        </w:tc>
        <w:tc>
          <w:tcPr>
            <w:tcW w:w="3827" w:type="dxa"/>
          </w:tcPr>
          <w:p w:rsidR="00EE44E9" w:rsidRPr="00EE44E9" w:rsidRDefault="00EE44E9" w:rsidP="00EE44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— Решение об отклонении апелляции;</w:t>
            </w: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br/>
              <w:t>— Решение об удовлетворении апелляции</w:t>
            </w:r>
          </w:p>
        </w:tc>
        <w:tc>
          <w:tcPr>
            <w:tcW w:w="3828" w:type="dxa"/>
          </w:tcPr>
          <w:p w:rsidR="00EE44E9" w:rsidRPr="00EE44E9" w:rsidRDefault="00EE44E9" w:rsidP="00EE44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— Решение об отклонении апелляции и сохранении выставленных баллов;  </w:t>
            </w: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br/>
              <w:t>— Решение об удовлетворении апелляции и изменении баллов</w:t>
            </w:r>
          </w:p>
        </w:tc>
      </w:tr>
      <w:tr w:rsidR="00EE44E9" w:rsidTr="0091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При удовлетворении апелляции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828" w:type="dxa"/>
            <w:shd w:val="clear" w:color="auto" w:fill="C2D69B" w:themeFill="accent3" w:themeFillTint="99"/>
          </w:tcPr>
          <w:p w:rsidR="00EE44E9" w:rsidRPr="00EE44E9" w:rsidRDefault="00EE44E9" w:rsidP="00EE4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EE44E9" w:rsidTr="00EE4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E44E9" w:rsidRPr="00EE44E9" w:rsidRDefault="00EE44E9" w:rsidP="00EE44E9">
            <w:pPr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Style w:val="a6"/>
                <w:rFonts w:ascii="Calibri" w:hAnsi="Calibri" w:cs="Calibri"/>
                <w:color w:val="1A1A1A"/>
                <w:spacing w:val="8"/>
                <w:sz w:val="24"/>
                <w:szCs w:val="24"/>
              </w:rPr>
              <w:t>Обращаем внимание!</w:t>
            </w:r>
          </w:p>
        </w:tc>
        <w:tc>
          <w:tcPr>
            <w:tcW w:w="3827" w:type="dxa"/>
          </w:tcPr>
          <w:p w:rsidR="00EE44E9" w:rsidRPr="00EE44E9" w:rsidRDefault="00EE44E9" w:rsidP="00EE44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 </w:t>
            </w:r>
          </w:p>
        </w:tc>
        <w:tc>
          <w:tcPr>
            <w:tcW w:w="3828" w:type="dxa"/>
          </w:tcPr>
          <w:p w:rsidR="00EE44E9" w:rsidRPr="00EE44E9" w:rsidRDefault="00EE44E9" w:rsidP="00EE44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1A1A1A"/>
                <w:sz w:val="24"/>
                <w:szCs w:val="24"/>
              </w:rPr>
            </w:pPr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>Рособрнадзором</w:t>
            </w:r>
            <w:proofErr w:type="spellEnd"/>
            <w:r w:rsidRPr="00EE44E9">
              <w:rPr>
                <w:rFonts w:ascii="Calibri" w:hAnsi="Calibri" w:cs="Calibri"/>
                <w:color w:val="1A1A1A"/>
                <w:sz w:val="24"/>
                <w:szCs w:val="24"/>
              </w:rPr>
              <w:t xml:space="preserve"> по заявлению гражданина.</w:t>
            </w:r>
          </w:p>
        </w:tc>
      </w:tr>
    </w:tbl>
    <w:p w:rsidR="00EE44E9" w:rsidRDefault="00EE44E9" w:rsidP="009527B7">
      <w:pPr>
        <w:spacing w:after="0"/>
      </w:pPr>
    </w:p>
    <w:sectPr w:rsidR="00EE44E9" w:rsidSect="00E10139">
      <w:pgSz w:w="11906" w:h="16838"/>
      <w:pgMar w:top="709" w:right="850" w:bottom="28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6C88"/>
    <w:multiLevelType w:val="hybridMultilevel"/>
    <w:tmpl w:val="C79AE018"/>
    <w:lvl w:ilvl="0" w:tplc="FC04B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DE"/>
    <w:rsid w:val="002D40AF"/>
    <w:rsid w:val="00383CB2"/>
    <w:rsid w:val="00677624"/>
    <w:rsid w:val="00751DDE"/>
    <w:rsid w:val="00917CBB"/>
    <w:rsid w:val="009527B7"/>
    <w:rsid w:val="00E10139"/>
    <w:rsid w:val="00E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527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4">
    <w:name w:val="Hyperlink"/>
    <w:basedOn w:val="a0"/>
    <w:uiPriority w:val="99"/>
    <w:unhideWhenUsed/>
    <w:rsid w:val="009527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39"/>
    <w:pPr>
      <w:ind w:left="720"/>
      <w:contextualSpacing/>
    </w:pPr>
  </w:style>
  <w:style w:type="character" w:styleId="a6">
    <w:name w:val="Strong"/>
    <w:basedOn w:val="a0"/>
    <w:uiPriority w:val="22"/>
    <w:qFormat/>
    <w:rsid w:val="00EE44E9"/>
    <w:rPr>
      <w:b/>
      <w:bCs/>
    </w:rPr>
  </w:style>
  <w:style w:type="table" w:styleId="-60">
    <w:name w:val="Light Grid Accent 6"/>
    <w:basedOn w:val="a1"/>
    <w:uiPriority w:val="62"/>
    <w:rsid w:val="00EE44E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527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4">
    <w:name w:val="Hyperlink"/>
    <w:basedOn w:val="a0"/>
    <w:uiPriority w:val="99"/>
    <w:unhideWhenUsed/>
    <w:rsid w:val="009527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39"/>
    <w:pPr>
      <w:ind w:left="720"/>
      <w:contextualSpacing/>
    </w:pPr>
  </w:style>
  <w:style w:type="character" w:styleId="a6">
    <w:name w:val="Strong"/>
    <w:basedOn w:val="a0"/>
    <w:uiPriority w:val="22"/>
    <w:qFormat/>
    <w:rsid w:val="00EE44E9"/>
    <w:rPr>
      <w:b/>
      <w:bCs/>
    </w:rPr>
  </w:style>
  <w:style w:type="table" w:styleId="-60">
    <w:name w:val="Light Grid Accent 6"/>
    <w:basedOn w:val="a1"/>
    <w:uiPriority w:val="62"/>
    <w:rsid w:val="00EE44E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2023-12-17T08:36:00Z</dcterms:created>
  <dcterms:modified xsi:type="dcterms:W3CDTF">2024-12-25T12:36:00Z</dcterms:modified>
</cp:coreProperties>
</file>